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C" w:rsidRPr="003E64DD" w:rsidRDefault="00E4457C" w:rsidP="00E4457C">
      <w:pPr>
        <w:pStyle w:val="a3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proofErr w:type="spellStart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>Єврорегіон</w:t>
      </w:r>
      <w:proofErr w:type="spellEnd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— як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міжнародну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асо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ціацію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засновано 2.02.2012 у м.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Києві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шляхом </w:t>
      </w:r>
      <w:proofErr w:type="spellStart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>ідписання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відповідного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договору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під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дво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сторонньої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зустрічі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прем’єр-міністр</w:t>
      </w:r>
      <w:bookmarkStart w:id="0" w:name="_GoBack"/>
      <w:bookmarkEnd w:id="0"/>
      <w:r w:rsidRPr="003E64DD">
        <w:rPr>
          <w:rStyle w:val="1"/>
          <w:color w:val="000000"/>
          <w:sz w:val="28"/>
          <w:szCs w:val="28"/>
          <w:lang w:eastAsia="uk-UA"/>
        </w:rPr>
        <w:t>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— М. Я. </w:t>
      </w:r>
      <w:r w:rsidRPr="003E64DD">
        <w:rPr>
          <w:rStyle w:val="a4"/>
          <w:color w:val="000000"/>
          <w:sz w:val="28"/>
          <w:szCs w:val="28"/>
          <w:lang w:eastAsia="uk-UA"/>
        </w:rPr>
        <w:t>Азарова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Республіки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Молдова — В.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Філа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- та.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Цей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догові</w:t>
      </w:r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 xml:space="preserve"> з боку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Вінниччини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уклали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голова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ради та голова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державної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ад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міністрації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а з боку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Республіки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Молдова —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го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лови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шести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рад: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Дондушеня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Окніца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Резіна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Сороки,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Флорешті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Шолданешті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Угода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передбачає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зміцнення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ефективніший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розвиток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добросусідських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відносин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прикордонних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українсь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ко-молдовських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Даний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також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може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розширений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рахунок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Каменського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Рибницького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самопроголошеної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(ПРМ)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Придністровської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Республіки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Молдова.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Територія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нині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складає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31 126 кв. км, 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насе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лення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сягає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2015 тис.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осіб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створено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органу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транскордонного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спів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робітництва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з метою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об’єднання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зусиль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місцевих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влади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адм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>іністративно-територіальних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одиниць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Республіки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Молдова. Головною метою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створення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діяльності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даного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є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здійснення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програм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комплексного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гармоні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зованого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територій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що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прилягають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>ічки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Укладена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угода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створений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гіон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дозволить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об’єднувати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матеріальні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фінансові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ресурси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обох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сторін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для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реалізації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спільних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програм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проектів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у тому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числі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 рам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 xml:space="preserve">ках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європейських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програм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допомоги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.</w:t>
      </w:r>
    </w:p>
    <w:p w:rsidR="00E4457C" w:rsidRPr="003E64DD" w:rsidRDefault="00E4457C" w:rsidP="00E4457C">
      <w:pPr>
        <w:pStyle w:val="a3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3E64DD">
        <w:rPr>
          <w:rStyle w:val="1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досягнення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мети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сторони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розгортають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спів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робітництво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в межах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своєї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компетенції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з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реалі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зації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таких задач: 1)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організація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координація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поглиблення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зв’язків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економіці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торгівлі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науці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освіті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культурі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туризмі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спорті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; 2)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здійснення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спільних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проектів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охорони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навколишнього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сере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довища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екологічного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оздоровлення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басейну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річки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; 3)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реалізація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спільних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транскордонних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інвестиційних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проектів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; 4)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здійснення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регіональ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проектів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(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програм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),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спрямованих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скоро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чення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безробіття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серед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населення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прикордонних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шляхом </w:t>
      </w:r>
      <w:proofErr w:type="spellStart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>ідвищення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економічного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потен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ціалу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; 5)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організація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контактів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відповідними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a4"/>
          <w:color w:val="000000"/>
          <w:sz w:val="28"/>
          <w:szCs w:val="28"/>
          <w:lang w:eastAsia="uk-UA"/>
        </w:rPr>
        <w:t>ор</w:t>
      </w:r>
      <w:r w:rsidRPr="003E64DD">
        <w:rPr>
          <w:rStyle w:val="a4"/>
          <w:color w:val="000000"/>
          <w:sz w:val="28"/>
          <w:szCs w:val="28"/>
          <w:lang w:eastAsia="uk-UA"/>
        </w:rPr>
        <w:softHyphen/>
        <w:t>ганізаціями</w:t>
      </w:r>
      <w:proofErr w:type="spellEnd"/>
      <w:r w:rsidRPr="003E64DD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a4"/>
          <w:color w:val="000000"/>
          <w:sz w:val="28"/>
          <w:szCs w:val="28"/>
          <w:lang w:eastAsia="uk-UA"/>
        </w:rPr>
        <w:t>міжнародними</w:t>
      </w:r>
      <w:proofErr w:type="spellEnd"/>
      <w:r w:rsidRPr="003E64DD">
        <w:rPr>
          <w:rStyle w:val="a4"/>
          <w:color w:val="000000"/>
          <w:sz w:val="28"/>
          <w:szCs w:val="28"/>
          <w:lang w:eastAsia="uk-UA"/>
        </w:rPr>
        <w:t>,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 фондами,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інститутами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агенціями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іншими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організаціями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.</w:t>
      </w:r>
    </w:p>
    <w:p w:rsidR="00E4457C" w:rsidRPr="003E64DD" w:rsidRDefault="00E4457C" w:rsidP="00E4457C">
      <w:pPr>
        <w:pStyle w:val="a3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lastRenderedPageBreak/>
        <w:t>Під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установчих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зборів</w:t>
      </w:r>
      <w:proofErr w:type="spellEnd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 xml:space="preserve"> Р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 xml:space="preserve">ади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відбулися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27.02.2012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передбачено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створення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функціонування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керівних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ганів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: Ради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Координаційного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центру,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оби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ратимуть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голову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заступника.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Офіційне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місце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реєстрації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—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Він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ниця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де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знаходиться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Координаційний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центр, 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представництво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— ум. Сороки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Респуб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ліки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Молдова. Угода </w:t>
      </w:r>
      <w:proofErr w:type="spellStart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>ідписана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необмежений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термін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передбачає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можливості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розширення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рахунок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інших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адміністративно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територіальних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одиниць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Рада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зареєстрована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3E64DD">
        <w:rPr>
          <w:rStyle w:val="a4"/>
          <w:color w:val="000000"/>
          <w:sz w:val="28"/>
          <w:szCs w:val="28"/>
          <w:lang w:eastAsia="uk-UA"/>
        </w:rPr>
        <w:t>Раді</w:t>
      </w:r>
      <w:proofErr w:type="spellEnd"/>
      <w:r w:rsidRPr="003E64DD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0"/>
          <w:color w:val="000000"/>
          <w:sz w:val="28"/>
          <w:szCs w:val="28"/>
          <w:lang w:eastAsia="uk-UA"/>
        </w:rPr>
        <w:t>Європі</w:t>
      </w:r>
      <w:proofErr w:type="spellEnd"/>
      <w:r w:rsidRPr="003E64DD">
        <w:rPr>
          <w:rStyle w:val="10"/>
          <w:color w:val="000000"/>
          <w:sz w:val="28"/>
          <w:szCs w:val="28"/>
          <w:lang w:eastAsia="uk-UA"/>
        </w:rPr>
        <w:t>,</w:t>
      </w:r>
      <w:r w:rsidRPr="003E64DD">
        <w:rPr>
          <w:rStyle w:val="PalatinoLinotype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також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відкри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то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представництво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Брюсселі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28.02.2013 проведена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міжнародна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конференція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бу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ли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розглянуті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>ізні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проекти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зокрема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стосовно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відкриття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мосту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Унгури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—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Броніца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а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майбутньо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му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— мосту в м. Сорока.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Інші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проекти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передба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чають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співробітництво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щодо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малого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бізнесу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туризму,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модернізації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медичних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закладів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тощо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даної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міжнародної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організації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є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відповід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сайт: ЬіІ</w:t>
      </w:r>
      <w:proofErr w:type="gramStart"/>
      <w:r w:rsidRPr="003E64DD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3E64DD">
        <w:rPr>
          <w:rStyle w:val="1"/>
          <w:color w:val="000000"/>
          <w:sz w:val="28"/>
          <w:szCs w:val="28"/>
          <w:lang w:eastAsia="uk-UA"/>
        </w:rPr>
        <w:t xml:space="preserve">://сіпіе8Іег.еи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виходить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друкова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інформаційний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Бюлетень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Дніс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тер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» (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російською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англійською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мовами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див. </w:t>
      </w:r>
      <w:proofErr w:type="gramStart"/>
      <w:r w:rsidRPr="003E64DD">
        <w:rPr>
          <w:rStyle w:val="10"/>
          <w:color w:val="000000"/>
          <w:sz w:val="28"/>
          <w:szCs w:val="28"/>
          <w:lang w:eastAsia="uk-UA"/>
        </w:rPr>
        <w:t>Н(</w:t>
      </w:r>
      <w:proofErr w:type="spellStart"/>
      <w:proofErr w:type="gramEnd"/>
      <w:r w:rsidRPr="003E64DD">
        <w:rPr>
          <w:rStyle w:val="10"/>
          <w:color w:val="000000"/>
          <w:sz w:val="28"/>
          <w:szCs w:val="28"/>
          <w:lang w:eastAsia="uk-UA"/>
        </w:rPr>
        <w:t>ір</w:t>
      </w:r>
      <w:proofErr w:type="spellEnd"/>
      <w:r w:rsidRPr="003E64DD">
        <w:rPr>
          <w:rStyle w:val="10"/>
          <w:color w:val="000000"/>
          <w:sz w:val="28"/>
          <w:szCs w:val="28"/>
          <w:lang w:eastAsia="uk-UA"/>
        </w:rPr>
        <w:t>://</w:t>
      </w:r>
      <w:proofErr w:type="spellStart"/>
      <w:r w:rsidRPr="003E64DD">
        <w:rPr>
          <w:rStyle w:val="10"/>
          <w:color w:val="000000"/>
          <w:sz w:val="28"/>
          <w:szCs w:val="28"/>
          <w:lang w:eastAsia="uk-UA"/>
        </w:rPr>
        <w:t>сІпіе$іег.еи</w:t>
      </w:r>
      <w:proofErr w:type="spellEnd"/>
      <w:r w:rsidRPr="003E64DD">
        <w:rPr>
          <w:rStyle w:val="10"/>
          <w:color w:val="000000"/>
          <w:sz w:val="28"/>
          <w:szCs w:val="28"/>
          <w:lang w:eastAsia="uk-UA"/>
        </w:rPr>
        <w:t>/</w:t>
      </w:r>
      <w:proofErr w:type="spellStart"/>
      <w:r w:rsidRPr="003E64DD">
        <w:rPr>
          <w:rStyle w:val="10"/>
          <w:color w:val="000000"/>
          <w:sz w:val="28"/>
          <w:szCs w:val="28"/>
          <w:lang w:eastAsia="uk-UA"/>
        </w:rPr>
        <w:t>агіісІе</w:t>
      </w:r>
      <w:proofErr w:type="spellEnd"/>
      <w:r w:rsidRPr="003E64DD">
        <w:rPr>
          <w:rStyle w:val="10"/>
          <w:color w:val="000000"/>
          <w:sz w:val="28"/>
          <w:szCs w:val="28"/>
          <w:lang w:eastAsia="uk-UA"/>
        </w:rPr>
        <w:t>/5кон'/1</w:t>
      </w:r>
      <w:r w:rsidRPr="003E64DD">
        <w:rPr>
          <w:rStyle w:val="11pt"/>
          <w:color w:val="000000"/>
          <w:sz w:val="28"/>
          <w:szCs w:val="28"/>
          <w:lang w:eastAsia="uk-UA"/>
        </w:rPr>
        <w:t>1</w:t>
      </w:r>
      <w:r w:rsidRPr="003E64DD">
        <w:rPr>
          <w:rStyle w:val="PalatinoLinotype"/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4457C" w:rsidRPr="003E64DD" w:rsidRDefault="00E4457C" w:rsidP="00E4457C">
      <w:pPr>
        <w:pStyle w:val="20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3E64DD">
        <w:rPr>
          <w:rStyle w:val="2"/>
          <w:i/>
          <w:iCs/>
          <w:color w:val="000000"/>
          <w:sz w:val="28"/>
          <w:szCs w:val="28"/>
          <w:lang w:eastAsia="uk-UA"/>
        </w:rPr>
        <w:t xml:space="preserve">А. І. </w:t>
      </w:r>
      <w:proofErr w:type="spellStart"/>
      <w:r w:rsidRPr="003E64DD">
        <w:rPr>
          <w:rStyle w:val="2"/>
          <w:i/>
          <w:iCs/>
          <w:color w:val="000000"/>
          <w:sz w:val="28"/>
          <w:szCs w:val="28"/>
          <w:lang w:eastAsia="uk-UA"/>
        </w:rPr>
        <w:t>Кудряченко</w:t>
      </w:r>
      <w:proofErr w:type="spellEnd"/>
    </w:p>
    <w:p w:rsidR="00934111" w:rsidRDefault="00934111"/>
    <w:sectPr w:rsidR="009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4C"/>
    <w:rsid w:val="000175A6"/>
    <w:rsid w:val="003D524C"/>
    <w:rsid w:val="004F2BD1"/>
    <w:rsid w:val="006F5CCF"/>
    <w:rsid w:val="00934111"/>
    <w:rsid w:val="00E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445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4457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 pt,Полужирный"/>
    <w:basedOn w:val="1"/>
    <w:uiPriority w:val="99"/>
    <w:rsid w:val="00E4457C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E4457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E4457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alatinoLinotype">
    <w:name w:val="Основной текст + Palatino Linotype"/>
    <w:aliases w:val="11 pt,Полужирный2"/>
    <w:basedOn w:val="1"/>
    <w:uiPriority w:val="99"/>
    <w:rsid w:val="00E4457C"/>
    <w:rPr>
      <w:rFonts w:ascii="Palatino Linotype" w:hAnsi="Palatino Linotype" w:cs="Palatino Linotype"/>
      <w:b/>
      <w:bCs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E4457C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E4457C"/>
    <w:pPr>
      <w:widowControl w:val="0"/>
      <w:shd w:val="clear" w:color="auto" w:fill="FFFFFF"/>
      <w:spacing w:after="0" w:line="286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E4457C"/>
  </w:style>
  <w:style w:type="paragraph" w:customStyle="1" w:styleId="20">
    <w:name w:val="Основной текст (2)"/>
    <w:basedOn w:val="a"/>
    <w:link w:val="2"/>
    <w:uiPriority w:val="99"/>
    <w:rsid w:val="00E4457C"/>
    <w:pPr>
      <w:widowControl w:val="0"/>
      <w:shd w:val="clear" w:color="auto" w:fill="FFFFFF"/>
      <w:spacing w:after="240" w:line="286" w:lineRule="exact"/>
      <w:jc w:val="right"/>
    </w:pPr>
    <w:rPr>
      <w:rFonts w:ascii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445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4457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 pt,Полужирный"/>
    <w:basedOn w:val="1"/>
    <w:uiPriority w:val="99"/>
    <w:rsid w:val="00E4457C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E4457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E4457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alatinoLinotype">
    <w:name w:val="Основной текст + Palatino Linotype"/>
    <w:aliases w:val="11 pt,Полужирный2"/>
    <w:basedOn w:val="1"/>
    <w:uiPriority w:val="99"/>
    <w:rsid w:val="00E4457C"/>
    <w:rPr>
      <w:rFonts w:ascii="Palatino Linotype" w:hAnsi="Palatino Linotype" w:cs="Palatino Linotype"/>
      <w:b/>
      <w:bCs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E4457C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E4457C"/>
    <w:pPr>
      <w:widowControl w:val="0"/>
      <w:shd w:val="clear" w:color="auto" w:fill="FFFFFF"/>
      <w:spacing w:after="0" w:line="286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E4457C"/>
  </w:style>
  <w:style w:type="paragraph" w:customStyle="1" w:styleId="20">
    <w:name w:val="Основной текст (2)"/>
    <w:basedOn w:val="a"/>
    <w:link w:val="2"/>
    <w:uiPriority w:val="99"/>
    <w:rsid w:val="00E4457C"/>
    <w:pPr>
      <w:widowControl w:val="0"/>
      <w:shd w:val="clear" w:color="auto" w:fill="FFFFFF"/>
      <w:spacing w:after="240" w:line="286" w:lineRule="exact"/>
      <w:jc w:val="right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WareZ Provider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2021-09-15T13:38:00Z</dcterms:created>
  <dcterms:modified xsi:type="dcterms:W3CDTF">2021-09-15T13:38:00Z</dcterms:modified>
</cp:coreProperties>
</file>