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C8" w:rsidRPr="003E64DD" w:rsidRDefault="00EE46C8" w:rsidP="00EE46C8">
      <w:pPr>
        <w:pStyle w:val="a3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proofErr w:type="spellStart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>Єврорегіон</w:t>
      </w:r>
      <w:proofErr w:type="spellEnd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>Донбас</w:t>
      </w:r>
      <w:proofErr w:type="spellEnd"/>
      <w:r w:rsidRPr="003E64DD">
        <w:rPr>
          <w:rStyle w:val="TrebuchetMS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асо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ціація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створена 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відповідності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договором,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підписаним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29.10.2010 у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головою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держадміністрації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Голен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ком та губернатором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РФ В.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Голубєвим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у лютому 2011 до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цього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приєдналася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Донецька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область.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Загальна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пло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ща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областей-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членів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складає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127 тис. км</w:t>
      </w:r>
      <w:r w:rsidRPr="003E64DD">
        <w:rPr>
          <w:rStyle w:val="1"/>
          <w:color w:val="000000"/>
          <w:sz w:val="28"/>
          <w:szCs w:val="28"/>
          <w:vertAlign w:val="superscript"/>
          <w:lang w:eastAsia="uk-UA"/>
        </w:rPr>
        <w:t>2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, 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чисельність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населення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11,5 млн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осіб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За такими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показниками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дана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асоціація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є одним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найкрупніших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континенті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ганізаційна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структура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включає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до себе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координаційно-консультативні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: Ра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ду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Донбас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Секретаріат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що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виконують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координаційні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дорадчі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представни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цькі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функції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пов’язані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реалізацією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цілей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Робота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координаційно-консульта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тивних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асоціації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ведеться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російською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мовою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організаційна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структура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ганів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їхня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структура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компетенція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можуть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змінюватися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взаємною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домовленіс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сторін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Керівники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боку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 посадами: глава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адміністрації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(губернатор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),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законодавчих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зборів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голова Ради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національно-культур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автономії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, Голова Торгово-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промислової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пала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мер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Новошахтинська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;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керівники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 боку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 посадами: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облдержадмініст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ради, голова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правління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громадської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організації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Інститут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стратегії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без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пеки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прикордонних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», голо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ва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регіональної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торгово-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промислової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палати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голова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Свердловська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.</w:t>
      </w:r>
    </w:p>
    <w:p w:rsidR="00EE46C8" w:rsidRPr="003E64DD" w:rsidRDefault="00EE46C8" w:rsidP="00EE46C8">
      <w:pPr>
        <w:pStyle w:val="a3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створено з метою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спів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робітництва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сторін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наступних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основних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напря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мах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: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всебічний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економічний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розвиток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комуніка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транспорту 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зв’язку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В рамках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міжнародної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асоціації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передбачається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спрощення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перетину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кордону,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поліпшення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екології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річки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Сіверський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життя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шляхом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підвищення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рівня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lastRenderedPageBreak/>
        <w:t>зайнятості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В межах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регіональної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співпраці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вирі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шена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важлива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сусідніх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областей проблема: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налагоджена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успішна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кооперація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проблемного в недалекому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минулому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ХК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Луганськтепловоз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Трансмашхолдингом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Новочеркаським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елек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тровозобудівельним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заводом, створено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спіль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локомотив, у тому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числі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й для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експорту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треті</w:t>
      </w:r>
      <w:proofErr w:type="spellEnd"/>
      <w:r w:rsidRPr="003E64DD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держави</w:t>
      </w:r>
      <w:proofErr w:type="spellEnd"/>
      <w:r w:rsidRPr="003E64DD">
        <w:rPr>
          <w:rStyle w:val="a4"/>
          <w:color w:val="000000"/>
          <w:sz w:val="28"/>
          <w:szCs w:val="28"/>
          <w:lang w:eastAsia="uk-UA"/>
        </w:rPr>
        <w:t>.</w:t>
      </w:r>
      <w:r w:rsidRPr="003E64DD">
        <w:rPr>
          <w:rStyle w:val="1"/>
          <w:color w:val="000000"/>
          <w:sz w:val="28"/>
          <w:szCs w:val="28"/>
          <w:lang w:eastAsia="uk-UA"/>
        </w:rPr>
        <w:t xml:space="preserve"> 18.10.2011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рамках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українсько-російського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міжрегіонального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фо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руму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підписано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угоду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поміж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урядами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двох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країн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перетину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українсько-російського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r w:rsidRPr="003E64DD">
        <w:rPr>
          <w:rStyle w:val="a4"/>
          <w:color w:val="000000"/>
          <w:sz w:val="28"/>
          <w:szCs w:val="28"/>
          <w:lang w:eastAsia="uk-UA"/>
        </w:rPr>
        <w:t xml:space="preserve">кордону державного </w:t>
      </w:r>
      <w:proofErr w:type="spellStart"/>
      <w:r w:rsidRPr="003E64DD">
        <w:rPr>
          <w:rStyle w:val="a4"/>
          <w:color w:val="000000"/>
          <w:sz w:val="28"/>
          <w:szCs w:val="28"/>
          <w:lang w:eastAsia="uk-UA"/>
        </w:rPr>
        <w:t>лінію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жителями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прикордон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областей. Документ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передбачає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полегшення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цього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режиму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мешканцями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шести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Брянської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Курської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Бєлгородської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Воронізької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областей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Краснодарського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краю) і шести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(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Чернігівської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Сумської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Харків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Криму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).</w:t>
      </w:r>
    </w:p>
    <w:p w:rsidR="00EE46C8" w:rsidRPr="003E64DD" w:rsidRDefault="00EE46C8" w:rsidP="00EE46C8">
      <w:pPr>
        <w:pStyle w:val="a3"/>
        <w:shd w:val="clear" w:color="auto" w:fill="auto"/>
        <w:spacing w:line="360" w:lineRule="auto"/>
        <w:ind w:right="40" w:firstLine="720"/>
        <w:rPr>
          <w:sz w:val="28"/>
          <w:szCs w:val="28"/>
        </w:rPr>
      </w:pPr>
      <w:r w:rsidRPr="003E64DD">
        <w:rPr>
          <w:rStyle w:val="1"/>
          <w:color w:val="000000"/>
          <w:sz w:val="28"/>
          <w:szCs w:val="28"/>
          <w:lang w:eastAsia="uk-UA"/>
        </w:rPr>
        <w:t xml:space="preserve">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існує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потенціал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прикордонного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туризму.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об’єктів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підвищеного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інтересу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розглядається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Азовське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узбе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режжя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крім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можливе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використання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Сівер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пізнавального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оздоровчого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ту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ризму й туризму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вихідного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дня.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Кожна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область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володіє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низкою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природних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історичних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визнач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місць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привабливих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туристів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Донецькій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такими є: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Успенський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Святогірський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настир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крейдових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горах 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національний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парк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Святі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гори»;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Український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степовий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заповідник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заповідник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Кам’яні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могили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Артемівський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 xml:space="preserve">вод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шампанських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вин з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соляними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шахтами,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од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ній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створений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алергологічний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санаторій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Луганській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області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розташовані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унікальні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ціональні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заповідники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Стрілецький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степ»,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Провальський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степ», 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також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об’єкти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що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мають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вагомий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туристичний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потенціал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—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Новодеркуль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кінний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завод, музей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козацтва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музей «Молода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гвардія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меморіальний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комплекс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Міус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фронт»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тощо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Ростовська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область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може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кож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запропонувати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вітчизняним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туристам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Ук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раїни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відвідування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долини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р.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Сіверський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Донець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Кам’янському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lastRenderedPageBreak/>
        <w:t>відпочинок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туристичних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базах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узбережжя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оздоровлення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узбере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жжі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Азовського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моря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Некліновському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і в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Таганрозі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екскурсії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археологічного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музею-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заповідника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Танаїс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М’ясниковському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районі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, музею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шахтарської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праці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м. Гуково й музею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вугільної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промисловості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Дону в м.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Шахти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Саме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тому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прийнятій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4.04.2012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Стратегії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соціально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економічного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єврорегіону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«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Донбас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» до 2020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туристично-рекреаційна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сфера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виділена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якості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одного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із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пріоритетів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. Сама ж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Стратегія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покликана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слугувати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основою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регіональних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ці</w:t>
      </w:r>
      <w:r w:rsidRPr="003E64DD">
        <w:rPr>
          <w:rStyle w:val="1"/>
          <w:color w:val="000000"/>
          <w:sz w:val="28"/>
          <w:szCs w:val="28"/>
          <w:lang w:eastAsia="uk-UA"/>
        </w:rPr>
        <w:softHyphen/>
        <w:t>льових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програм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розвитку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3E64DD">
        <w:rPr>
          <w:rStyle w:val="1"/>
          <w:color w:val="000000"/>
          <w:sz w:val="28"/>
          <w:szCs w:val="28"/>
          <w:lang w:eastAsia="uk-UA"/>
        </w:rPr>
        <w:t>територій</w:t>
      </w:r>
      <w:proofErr w:type="spellEnd"/>
      <w:r w:rsidRPr="003E64DD">
        <w:rPr>
          <w:rStyle w:val="1"/>
          <w:color w:val="000000"/>
          <w:sz w:val="28"/>
          <w:szCs w:val="28"/>
          <w:lang w:eastAsia="uk-UA"/>
        </w:rPr>
        <w:t>.</w:t>
      </w:r>
    </w:p>
    <w:p w:rsidR="00EE46C8" w:rsidRPr="003E64DD" w:rsidRDefault="00EE46C8" w:rsidP="00EE46C8">
      <w:pPr>
        <w:pStyle w:val="20"/>
        <w:shd w:val="clear" w:color="auto" w:fill="auto"/>
        <w:spacing w:after="0" w:line="360" w:lineRule="auto"/>
        <w:ind w:right="40" w:firstLine="720"/>
        <w:jc w:val="both"/>
        <w:rPr>
          <w:sz w:val="28"/>
          <w:szCs w:val="28"/>
        </w:rPr>
      </w:pPr>
      <w:r w:rsidRPr="003E64DD">
        <w:rPr>
          <w:rStyle w:val="2"/>
          <w:i/>
          <w:iCs/>
          <w:color w:val="000000"/>
          <w:sz w:val="28"/>
          <w:szCs w:val="28"/>
          <w:lang w:eastAsia="uk-UA"/>
        </w:rPr>
        <w:t xml:space="preserve">А. І. </w:t>
      </w:r>
      <w:proofErr w:type="spellStart"/>
      <w:r w:rsidRPr="003E64DD">
        <w:rPr>
          <w:rStyle w:val="2"/>
          <w:i/>
          <w:iCs/>
          <w:color w:val="000000"/>
          <w:sz w:val="28"/>
          <w:szCs w:val="28"/>
          <w:lang w:eastAsia="uk-UA"/>
        </w:rPr>
        <w:t>Кудряченко</w:t>
      </w:r>
      <w:proofErr w:type="spellEnd"/>
    </w:p>
    <w:p w:rsidR="00EE46C8" w:rsidRPr="003E64DD" w:rsidRDefault="00EE46C8" w:rsidP="00EE46C8">
      <w:pPr>
        <w:pStyle w:val="a3"/>
        <w:shd w:val="clear" w:color="auto" w:fill="auto"/>
        <w:spacing w:line="360" w:lineRule="auto"/>
        <w:ind w:right="40" w:firstLine="720"/>
        <w:rPr>
          <w:sz w:val="28"/>
          <w:szCs w:val="28"/>
        </w:rPr>
      </w:pPr>
    </w:p>
    <w:p w:rsidR="00934111" w:rsidRDefault="00934111">
      <w:bookmarkStart w:id="0" w:name="_GoBack"/>
      <w:bookmarkEnd w:id="0"/>
    </w:p>
    <w:sectPr w:rsidR="00934111" w:rsidSect="00EE46C8">
      <w:pgSz w:w="11906" w:h="16838"/>
      <w:pgMar w:top="1134" w:right="850" w:bottom="1134" w:left="1701" w:header="0" w:footer="3" w:gutter="648"/>
      <w:cols w:space="16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E"/>
    <w:rsid w:val="000175A6"/>
    <w:rsid w:val="004F2BD1"/>
    <w:rsid w:val="0063180E"/>
    <w:rsid w:val="006F5CCF"/>
    <w:rsid w:val="00934111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46C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E46C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 pt,Полужирный"/>
    <w:basedOn w:val="1"/>
    <w:uiPriority w:val="99"/>
    <w:rsid w:val="00EE46C8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EE46C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E46C8"/>
    <w:pPr>
      <w:widowControl w:val="0"/>
      <w:shd w:val="clear" w:color="auto" w:fill="FFFFFF"/>
      <w:spacing w:after="0" w:line="286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E46C8"/>
  </w:style>
  <w:style w:type="paragraph" w:customStyle="1" w:styleId="20">
    <w:name w:val="Основной текст (2)"/>
    <w:basedOn w:val="a"/>
    <w:link w:val="2"/>
    <w:uiPriority w:val="99"/>
    <w:rsid w:val="00EE46C8"/>
    <w:pPr>
      <w:widowControl w:val="0"/>
      <w:shd w:val="clear" w:color="auto" w:fill="FFFFFF"/>
      <w:spacing w:after="240" w:line="286" w:lineRule="exact"/>
      <w:jc w:val="right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46C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E46C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 pt,Полужирный"/>
    <w:basedOn w:val="1"/>
    <w:uiPriority w:val="99"/>
    <w:rsid w:val="00EE46C8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EE46C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E46C8"/>
    <w:pPr>
      <w:widowControl w:val="0"/>
      <w:shd w:val="clear" w:color="auto" w:fill="FFFFFF"/>
      <w:spacing w:after="0" w:line="286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EE46C8"/>
  </w:style>
  <w:style w:type="paragraph" w:customStyle="1" w:styleId="20">
    <w:name w:val="Основной текст (2)"/>
    <w:basedOn w:val="a"/>
    <w:link w:val="2"/>
    <w:uiPriority w:val="99"/>
    <w:rsid w:val="00EE46C8"/>
    <w:pPr>
      <w:widowControl w:val="0"/>
      <w:shd w:val="clear" w:color="auto" w:fill="FFFFFF"/>
      <w:spacing w:after="240" w:line="286" w:lineRule="exact"/>
      <w:jc w:val="right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WareZ Provider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2021-09-15T13:39:00Z</dcterms:created>
  <dcterms:modified xsi:type="dcterms:W3CDTF">2021-09-15T13:39:00Z</dcterms:modified>
</cp:coreProperties>
</file>